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D" w:rsidRPr="00F61013" w:rsidRDefault="000202A5" w:rsidP="00F0377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ACT Prep</w:t>
      </w:r>
      <w:r w:rsidR="00F0377D" w:rsidRPr="00F61013">
        <w:rPr>
          <w:rFonts w:eastAsia="Times New Roman" w:cs="Times New Roman"/>
          <w:sz w:val="28"/>
          <w:szCs w:val="28"/>
        </w:rPr>
        <w:t xml:space="preserve"> Course Syllabus</w:t>
      </w:r>
    </w:p>
    <w:p w:rsidR="00F0377D" w:rsidRPr="00F61013" w:rsidRDefault="00F0377D" w:rsidP="00F0377D">
      <w:pPr>
        <w:jc w:val="center"/>
        <w:rPr>
          <w:rFonts w:eastAsia="Times New Roman" w:cs="Times New Roman"/>
          <w:sz w:val="28"/>
          <w:szCs w:val="28"/>
        </w:rPr>
      </w:pPr>
      <w:r w:rsidRPr="00F61013">
        <w:rPr>
          <w:rFonts w:eastAsia="Times New Roman" w:cs="Times New Roman"/>
          <w:sz w:val="28"/>
          <w:szCs w:val="28"/>
        </w:rPr>
        <w:t>Gibbs High School   865-689-9130</w:t>
      </w:r>
    </w:p>
    <w:p w:rsidR="00F0377D" w:rsidRPr="00F61013" w:rsidRDefault="00B275EB" w:rsidP="00F0377D">
      <w:pPr>
        <w:jc w:val="center"/>
        <w:rPr>
          <w:rFonts w:eastAsia="Times New Roman" w:cs="Times New Roman"/>
          <w:sz w:val="28"/>
          <w:szCs w:val="28"/>
        </w:rPr>
      </w:pPr>
      <w:r w:rsidRPr="00F61013">
        <w:rPr>
          <w:rFonts w:eastAsia="Times New Roman" w:cs="Times New Roman"/>
          <w:sz w:val="28"/>
          <w:szCs w:val="28"/>
        </w:rPr>
        <w:t>Enrichment Block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  <w:sectPr w:rsidR="00F0377D" w:rsidRPr="00F0377D" w:rsidSect="00AB228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0377D" w:rsidRPr="00F61013" w:rsidRDefault="00F0377D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lastRenderedPageBreak/>
        <w:t xml:space="preserve">Mr. </w:t>
      </w:r>
      <w:r w:rsidR="00F32206" w:rsidRPr="00F61013">
        <w:rPr>
          <w:rFonts w:eastAsia="Times New Roman" w:cs="Times New Roman"/>
          <w:sz w:val="20"/>
          <w:szCs w:val="20"/>
        </w:rPr>
        <w:t>Rob Ryan</w:t>
      </w:r>
      <w:r w:rsidRPr="00F61013">
        <w:rPr>
          <w:rFonts w:eastAsia="Times New Roman" w:cs="Times New Roman"/>
          <w:sz w:val="20"/>
          <w:szCs w:val="20"/>
        </w:rPr>
        <w:t xml:space="preserve"> - Reading</w:t>
      </w:r>
    </w:p>
    <w:p w:rsidR="00F0377D" w:rsidRPr="00F61013" w:rsidRDefault="00F32206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robert.ryan</w:t>
      </w:r>
      <w:r w:rsidR="00F0377D" w:rsidRPr="00F61013">
        <w:rPr>
          <w:rFonts w:eastAsia="Times New Roman" w:cs="Times New Roman"/>
          <w:sz w:val="20"/>
          <w:szCs w:val="20"/>
        </w:rPr>
        <w:t>@knoxschools.org</w:t>
      </w:r>
    </w:p>
    <w:p w:rsidR="00F0377D" w:rsidRPr="00F61013" w:rsidRDefault="00F32206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Room 201</w:t>
      </w:r>
    </w:p>
    <w:p w:rsidR="00F0377D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Ext</w:t>
      </w:r>
      <w:r w:rsidR="00F32206" w:rsidRPr="00F61013">
        <w:rPr>
          <w:rFonts w:eastAsia="Times New Roman" w:cs="Times New Roman"/>
          <w:sz w:val="20"/>
          <w:szCs w:val="20"/>
        </w:rPr>
        <w:t xml:space="preserve"> 72567</w:t>
      </w:r>
    </w:p>
    <w:p w:rsidR="00F0377D" w:rsidRPr="00F61013" w:rsidRDefault="00F0377D" w:rsidP="00F0377D">
      <w:pPr>
        <w:rPr>
          <w:rFonts w:eastAsia="Times New Roman" w:cs="Times New Roman"/>
          <w:sz w:val="20"/>
          <w:szCs w:val="20"/>
        </w:rPr>
      </w:pPr>
    </w:p>
    <w:p w:rsidR="00F0377D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Ms. Ashley England - Math</w:t>
      </w:r>
    </w:p>
    <w:p w:rsidR="00AB228C" w:rsidRPr="00F61013" w:rsidRDefault="000202A5" w:rsidP="00F0377D">
      <w:pPr>
        <w:rPr>
          <w:rFonts w:eastAsia="Times New Roman" w:cs="Times New Roman"/>
          <w:sz w:val="20"/>
          <w:szCs w:val="20"/>
        </w:rPr>
      </w:pPr>
      <w:hyperlink r:id="rId6" w:history="1">
        <w:r w:rsidR="00AB228C" w:rsidRPr="00F61013">
          <w:rPr>
            <w:rStyle w:val="Hyperlink"/>
            <w:rFonts w:eastAsia="Times New Roman" w:cs="Times New Roman"/>
            <w:color w:val="auto"/>
            <w:sz w:val="20"/>
            <w:szCs w:val="20"/>
            <w:u w:val="none"/>
          </w:rPr>
          <w:t>ashley.england@knoxschools.org</w:t>
        </w:r>
      </w:hyperlink>
    </w:p>
    <w:p w:rsidR="00AB228C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Room 117</w:t>
      </w:r>
    </w:p>
    <w:p w:rsidR="00AB228C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Ext 72551</w:t>
      </w:r>
    </w:p>
    <w:p w:rsidR="00F0377D" w:rsidRPr="00F61013" w:rsidRDefault="00F0377D" w:rsidP="00F0377D">
      <w:pPr>
        <w:rPr>
          <w:rFonts w:eastAsia="Times New Roman" w:cs="Times New Roman"/>
          <w:sz w:val="20"/>
          <w:szCs w:val="20"/>
        </w:rPr>
      </w:pPr>
    </w:p>
    <w:p w:rsidR="00F0377D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M</w:t>
      </w:r>
      <w:r w:rsidR="00EF5A26" w:rsidRPr="00F61013">
        <w:rPr>
          <w:rFonts w:eastAsia="Times New Roman" w:cs="Times New Roman"/>
          <w:sz w:val="20"/>
          <w:szCs w:val="20"/>
        </w:rPr>
        <w:t>s. Laura Johnson - Science</w:t>
      </w:r>
    </w:p>
    <w:p w:rsidR="00F0377D" w:rsidRPr="00F61013" w:rsidRDefault="00EF5A26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laura.johnson</w:t>
      </w:r>
      <w:r w:rsidR="00F0377D" w:rsidRPr="00F61013">
        <w:rPr>
          <w:rFonts w:eastAsia="Times New Roman" w:cs="Times New Roman"/>
          <w:sz w:val="20"/>
          <w:szCs w:val="20"/>
        </w:rPr>
        <w:t>@knoxschools.org</w:t>
      </w:r>
    </w:p>
    <w:p w:rsidR="00F0377D" w:rsidRPr="00F61013" w:rsidRDefault="00EF5A26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Room 104</w:t>
      </w:r>
    </w:p>
    <w:p w:rsidR="00F0377D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Ext</w:t>
      </w:r>
      <w:r w:rsidR="000F6C2F" w:rsidRPr="00F61013">
        <w:rPr>
          <w:rFonts w:eastAsia="Times New Roman" w:cs="Times New Roman"/>
          <w:sz w:val="20"/>
          <w:szCs w:val="20"/>
        </w:rPr>
        <w:t xml:space="preserve"> 72538</w:t>
      </w:r>
    </w:p>
    <w:p w:rsidR="00AB228C" w:rsidRPr="00F61013" w:rsidRDefault="00AB228C" w:rsidP="00F0377D">
      <w:pPr>
        <w:rPr>
          <w:rFonts w:eastAsia="Times New Roman" w:cs="Times New Roman"/>
          <w:sz w:val="20"/>
          <w:szCs w:val="20"/>
        </w:rPr>
      </w:pPr>
    </w:p>
    <w:p w:rsidR="00AB228C" w:rsidRPr="00F61013" w:rsidRDefault="00AB228C" w:rsidP="00F0377D">
      <w:pPr>
        <w:rPr>
          <w:rFonts w:eastAsia="Times New Roman" w:cs="Times New Roman"/>
          <w:sz w:val="20"/>
          <w:szCs w:val="20"/>
        </w:rPr>
        <w:sectPr w:rsidR="00AB228C" w:rsidRPr="00F61013" w:rsidSect="00AB228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F5A26" w:rsidRPr="00F61013" w:rsidRDefault="00EF5A26" w:rsidP="00EF5A26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lastRenderedPageBreak/>
        <w:t>Mr. Greg Pomeroy - English</w:t>
      </w:r>
    </w:p>
    <w:p w:rsidR="00EF5A26" w:rsidRPr="00F61013" w:rsidRDefault="00EF5A26" w:rsidP="00EF5A26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brady.pomeroy@knoxschools.org</w:t>
      </w:r>
    </w:p>
    <w:p w:rsidR="00EF5A26" w:rsidRPr="00F61013" w:rsidRDefault="00EF5A26" w:rsidP="00EF5A26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Room 218</w:t>
      </w:r>
    </w:p>
    <w:p w:rsidR="00F0377D" w:rsidRPr="00F61013" w:rsidRDefault="00AB228C" w:rsidP="00F0377D">
      <w:pPr>
        <w:rPr>
          <w:rFonts w:eastAsia="Times New Roman" w:cs="Times New Roman"/>
          <w:sz w:val="20"/>
          <w:szCs w:val="20"/>
        </w:rPr>
      </w:pPr>
      <w:r w:rsidRPr="00F61013">
        <w:rPr>
          <w:rFonts w:eastAsia="Times New Roman" w:cs="Times New Roman"/>
          <w:sz w:val="20"/>
          <w:szCs w:val="20"/>
        </w:rPr>
        <w:t>Ext</w:t>
      </w:r>
      <w:r w:rsidR="00EF5A26" w:rsidRPr="00F61013">
        <w:rPr>
          <w:rFonts w:eastAsia="Times New Roman" w:cs="Times New Roman"/>
          <w:sz w:val="20"/>
          <w:szCs w:val="20"/>
        </w:rPr>
        <w:t xml:space="preserve"> 72585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AB228C" w:rsidRDefault="00AB228C" w:rsidP="00F0377D">
      <w:pPr>
        <w:jc w:val="center"/>
        <w:rPr>
          <w:rFonts w:eastAsia="Times New Roman" w:cs="Times New Roman"/>
          <w:b/>
          <w:szCs w:val="24"/>
        </w:rPr>
        <w:sectPr w:rsidR="00AB228C" w:rsidSect="00AB228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0377D" w:rsidRPr="00F0377D" w:rsidRDefault="00F0377D" w:rsidP="00F0377D">
      <w:pPr>
        <w:jc w:val="center"/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</w:rPr>
        <w:lastRenderedPageBreak/>
        <w:t>INSTRUCTION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Course Description</w:t>
      </w:r>
      <w:r w:rsidRPr="00F0377D">
        <w:rPr>
          <w:rFonts w:eastAsia="Times New Roman" w:cs="Times New Roman"/>
          <w:b/>
          <w:szCs w:val="24"/>
        </w:rPr>
        <w:t xml:space="preserve">:  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The course provides comprehensive preparation for four parts of the ACT: English, Math, Reading, and Science.  It offers a practical approach, prioritizing the most frequently tested concepts. Example problems with detailed explanations, drills, and exercises will be used.  </w:t>
      </w:r>
      <w:r w:rsidR="009E664B">
        <w:rPr>
          <w:rFonts w:eastAsia="Times New Roman" w:cs="Times New Roman"/>
          <w:szCs w:val="24"/>
        </w:rPr>
        <w:t>It is the students</w:t>
      </w:r>
      <w:r w:rsidR="00465AD6">
        <w:rPr>
          <w:rFonts w:eastAsia="Times New Roman" w:cs="Times New Roman"/>
          <w:szCs w:val="24"/>
        </w:rPr>
        <w:t>’</w:t>
      </w:r>
      <w:r w:rsidR="009E664B">
        <w:rPr>
          <w:rFonts w:eastAsia="Times New Roman" w:cs="Times New Roman"/>
          <w:szCs w:val="24"/>
        </w:rPr>
        <w:t xml:space="preserve"> responsibility to register for this ACT on the ACTStudent.org website.  </w:t>
      </w:r>
      <w:r w:rsidRPr="00F0377D">
        <w:rPr>
          <w:rFonts w:eastAsia="Times New Roman" w:cs="Times New Roman"/>
          <w:szCs w:val="24"/>
        </w:rPr>
        <w:t>Data shows that with each retake of the test, overall scores are raised by 1-3 points on average.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Standards</w:t>
      </w:r>
      <w:r w:rsidRPr="00F0377D">
        <w:rPr>
          <w:rFonts w:eastAsia="Times New Roman" w:cs="Times New Roman"/>
          <w:b/>
          <w:szCs w:val="24"/>
        </w:rPr>
        <w:t xml:space="preserve">: </w:t>
      </w:r>
    </w:p>
    <w:p w:rsidR="00F0377D" w:rsidRDefault="000202A5" w:rsidP="00F0377D">
      <w:hyperlink r:id="rId7" w:history="1">
        <w:r w:rsidR="0010363E" w:rsidRPr="00EC00F1">
          <w:rPr>
            <w:rStyle w:val="Hyperlink"/>
          </w:rPr>
          <w:t>http://www.act.org/content/act/en/education-and-career-planning/college-and-career-readiness-standards.html</w:t>
        </w:r>
      </w:hyperlink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Topics / Skills Covered</w:t>
      </w:r>
      <w:r w:rsidRPr="00F0377D">
        <w:rPr>
          <w:rFonts w:eastAsia="Times New Roman" w:cs="Times New Roman"/>
          <w:b/>
          <w:szCs w:val="24"/>
        </w:rPr>
        <w:t xml:space="preserve">: 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</w:rPr>
        <w:t xml:space="preserve">     </w:t>
      </w:r>
      <w:r w:rsidRPr="00F0377D">
        <w:rPr>
          <w:rFonts w:eastAsia="Times New Roman" w:cs="Times New Roman"/>
          <w:szCs w:val="24"/>
        </w:rPr>
        <w:t xml:space="preserve">This course will help prepare students for the Math, Science, English and Reading sections of the ACT test.  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224653" w:rsidRDefault="00224653">
      <w:pPr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b/>
          <w:szCs w:val="24"/>
          <w:u w:val="single"/>
        </w:rPr>
        <w:br w:type="page"/>
      </w:r>
    </w:p>
    <w:p w:rsidR="00224653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lastRenderedPageBreak/>
        <w:t>General Pacing</w:t>
      </w:r>
      <w:r w:rsidRPr="00F0377D">
        <w:rPr>
          <w:rFonts w:eastAsia="Times New Roman" w:cs="Times New Roman"/>
          <w:b/>
          <w:szCs w:val="24"/>
        </w:rPr>
        <w:t>:</w:t>
      </w:r>
      <w:r w:rsidRPr="00F0377D">
        <w:rPr>
          <w:rFonts w:eastAsia="Times New Roman" w:cs="Times New Roman"/>
          <w:szCs w:val="24"/>
        </w:rPr>
        <w:t xml:space="preserve"> </w:t>
      </w:r>
    </w:p>
    <w:p w:rsid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This is a semester-long class.  Each of the four sections of the ACT test will be covered, one during each of the 4 ½ week grading periods.  Students will rotate to a different teacher and subject for each grading period.  Students will be given a pre-test and a post-test for each subject area.  In between the two tests, students will receive subject specific review and test taking tips.</w:t>
      </w:r>
    </w:p>
    <w:p w:rsidR="00AB228C" w:rsidRPr="00224653" w:rsidRDefault="00AB228C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Materials Needed</w:t>
      </w:r>
      <w:r w:rsidRPr="00F0377D">
        <w:rPr>
          <w:rFonts w:eastAsia="Times New Roman" w:cs="Times New Roman"/>
          <w:b/>
          <w:szCs w:val="24"/>
        </w:rPr>
        <w:t>:</w:t>
      </w:r>
      <w:r w:rsidRPr="00F0377D">
        <w:rPr>
          <w:rFonts w:eastAsia="Times New Roman" w:cs="Times New Roman"/>
          <w:szCs w:val="24"/>
        </w:rPr>
        <w:t xml:space="preserve"> </w:t>
      </w:r>
    </w:p>
    <w:p w:rsidR="00F0377D" w:rsidRPr="00F0377D" w:rsidRDefault="00F0377D" w:rsidP="00F0377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Blue or black pen</w:t>
      </w:r>
    </w:p>
    <w:p w:rsidR="00F0377D" w:rsidRPr="00F0377D" w:rsidRDefault="00F0377D" w:rsidP="00F0377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#2 pencil</w:t>
      </w:r>
    </w:p>
    <w:p w:rsidR="00F0377D" w:rsidRPr="00F0377D" w:rsidRDefault="00F0377D" w:rsidP="00F0377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Loose-leaf paper</w:t>
      </w:r>
    </w:p>
    <w:p w:rsidR="00F0377D" w:rsidRPr="00F0377D" w:rsidRDefault="00F0377D" w:rsidP="00F0377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Three-ring binder with four sections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Fees</w:t>
      </w:r>
      <w:r w:rsidRPr="00F0377D">
        <w:rPr>
          <w:rFonts w:eastAsia="Times New Roman" w:cs="Times New Roman"/>
          <w:b/>
          <w:szCs w:val="24"/>
        </w:rPr>
        <w:t xml:space="preserve">:  </w:t>
      </w:r>
    </w:p>
    <w:p w:rsidR="006A714C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</w:rPr>
        <w:t xml:space="preserve">      </w:t>
      </w:r>
      <w:r w:rsidRPr="00F0377D">
        <w:rPr>
          <w:rFonts w:eastAsia="Times New Roman" w:cs="Times New Roman"/>
          <w:szCs w:val="24"/>
        </w:rPr>
        <w:t>Th</w:t>
      </w:r>
      <w:r w:rsidR="006A714C">
        <w:rPr>
          <w:rFonts w:eastAsia="Times New Roman" w:cs="Times New Roman"/>
          <w:szCs w:val="24"/>
        </w:rPr>
        <w:t xml:space="preserve">ere is a $20 fee for this class to </w:t>
      </w:r>
      <w:r w:rsidR="00224653">
        <w:rPr>
          <w:rFonts w:eastAsia="Times New Roman" w:cs="Times New Roman"/>
          <w:szCs w:val="24"/>
        </w:rPr>
        <w:t>pay for the</w:t>
      </w:r>
      <w:r w:rsidR="006A714C">
        <w:rPr>
          <w:rFonts w:eastAsia="Times New Roman" w:cs="Times New Roman"/>
          <w:szCs w:val="24"/>
        </w:rPr>
        <w:t xml:space="preserve"> cost of </w:t>
      </w:r>
      <w:r w:rsidR="00224653">
        <w:rPr>
          <w:rFonts w:eastAsia="Times New Roman" w:cs="Times New Roman"/>
          <w:szCs w:val="24"/>
        </w:rPr>
        <w:t xml:space="preserve">the </w:t>
      </w:r>
      <w:r w:rsidR="006A714C">
        <w:rPr>
          <w:rFonts w:eastAsia="Times New Roman" w:cs="Times New Roman"/>
          <w:szCs w:val="24"/>
        </w:rPr>
        <w:t xml:space="preserve">student </w:t>
      </w:r>
      <w:r w:rsidR="00224653">
        <w:rPr>
          <w:rFonts w:eastAsia="Times New Roman" w:cs="Times New Roman"/>
          <w:szCs w:val="24"/>
        </w:rPr>
        <w:t>book</w:t>
      </w:r>
      <w:r w:rsidR="006A714C">
        <w:rPr>
          <w:rFonts w:eastAsia="Times New Roman" w:cs="Times New Roman"/>
          <w:szCs w:val="24"/>
        </w:rPr>
        <w:t>.</w:t>
      </w:r>
      <w:r w:rsidRPr="00F0377D">
        <w:rPr>
          <w:rFonts w:eastAsia="Times New Roman" w:cs="Times New Roman"/>
          <w:szCs w:val="24"/>
        </w:rPr>
        <w:t xml:space="preserve">  </w:t>
      </w:r>
    </w:p>
    <w:p w:rsidR="006A714C" w:rsidRDefault="006A714C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Resources</w:t>
      </w:r>
      <w:r w:rsidRPr="00F0377D">
        <w:rPr>
          <w:rFonts w:eastAsia="Times New Roman" w:cs="Times New Roman"/>
          <w:b/>
          <w:szCs w:val="24"/>
        </w:rPr>
        <w:t xml:space="preserve">:  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</w:t>
      </w:r>
      <w:r w:rsidRPr="00F0377D">
        <w:rPr>
          <w:rFonts w:eastAsia="Times New Roman" w:cs="Times New Roman"/>
          <w:i/>
          <w:szCs w:val="24"/>
        </w:rPr>
        <w:t>The Book of Knowledge ACT</w:t>
      </w:r>
      <w:r w:rsidR="00224653">
        <w:rPr>
          <w:rFonts w:eastAsia="Times New Roman" w:cs="Times New Roman"/>
          <w:szCs w:val="24"/>
        </w:rPr>
        <w:t xml:space="preserve"> 7</w:t>
      </w:r>
      <w:r w:rsidRPr="00F0377D">
        <w:rPr>
          <w:rFonts w:eastAsia="Times New Roman" w:cs="Times New Roman"/>
          <w:szCs w:val="24"/>
          <w:vertAlign w:val="superscript"/>
        </w:rPr>
        <w:t>th</w:t>
      </w:r>
      <w:r w:rsidRPr="00F0377D">
        <w:rPr>
          <w:rFonts w:eastAsia="Times New Roman" w:cs="Times New Roman"/>
          <w:szCs w:val="24"/>
        </w:rPr>
        <w:t xml:space="preserve"> Edition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</w:t>
      </w:r>
    </w:p>
    <w:p w:rsidR="00F0377D" w:rsidRPr="00F0377D" w:rsidRDefault="00F0377D" w:rsidP="00F0377D">
      <w:pPr>
        <w:jc w:val="center"/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</w:rPr>
        <w:t>ASSESSMENT</w:t>
      </w:r>
    </w:p>
    <w:p w:rsidR="00F0377D" w:rsidRPr="00F0377D" w:rsidRDefault="00F0377D" w:rsidP="00F0377D">
      <w:pPr>
        <w:rPr>
          <w:rFonts w:eastAsia="Times New Roman" w:cs="Times New Roman"/>
          <w:b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General Assessment</w:t>
      </w:r>
      <w:r w:rsidRPr="00F0377D">
        <w:rPr>
          <w:rFonts w:eastAsia="Times New Roman" w:cs="Times New Roman"/>
          <w:b/>
          <w:szCs w:val="24"/>
        </w:rPr>
        <w:t>: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Grades will be given for a variety of ACT-type activities and assessments. The four  4 ½ week grading periods, each covering a separate section of the ACT, will be combined for the final grade for this course.</w:t>
      </w:r>
    </w:p>
    <w:p w:rsidR="00F0377D" w:rsidRPr="00F0377D" w:rsidRDefault="00F0377D" w:rsidP="00F0377D">
      <w:pPr>
        <w:rPr>
          <w:rFonts w:eastAsia="Times New Roman" w:cs="Times New Roman"/>
          <w:b/>
          <w:szCs w:val="24"/>
          <w:u w:val="single"/>
        </w:rPr>
      </w:pP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Grading</w:t>
      </w:r>
      <w:r w:rsidRPr="00F0377D">
        <w:rPr>
          <w:rFonts w:eastAsia="Times New Roman" w:cs="Times New Roman"/>
          <w:b/>
          <w:szCs w:val="24"/>
        </w:rPr>
        <w:t>:</w:t>
      </w:r>
    </w:p>
    <w:p w:rsidR="00F0377D" w:rsidRPr="00F0377D" w:rsidRDefault="00F0377D" w:rsidP="00F0377D">
      <w:pPr>
        <w:numPr>
          <w:ilvl w:val="1"/>
          <w:numId w:val="2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A</w:t>
      </w:r>
      <w:r w:rsidRPr="00F0377D">
        <w:rPr>
          <w:rFonts w:eastAsia="Times New Roman" w:cs="Times New Roman"/>
          <w:szCs w:val="24"/>
        </w:rPr>
        <w:tab/>
        <w:t>70-74               D</w:t>
      </w:r>
    </w:p>
    <w:p w:rsidR="00F0377D" w:rsidRPr="00F0377D" w:rsidRDefault="00F0377D" w:rsidP="00F0377D">
      <w:pPr>
        <w:numPr>
          <w:ilvl w:val="1"/>
          <w:numId w:val="3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B</w:t>
      </w:r>
      <w:r w:rsidRPr="00F0377D">
        <w:rPr>
          <w:rFonts w:eastAsia="Times New Roman" w:cs="Times New Roman"/>
          <w:szCs w:val="24"/>
        </w:rPr>
        <w:tab/>
        <w:t>Below 69         F</w:t>
      </w:r>
    </w:p>
    <w:p w:rsidR="00F0377D" w:rsidRPr="00F0377D" w:rsidRDefault="00F0377D" w:rsidP="00F0377D">
      <w:pPr>
        <w:numPr>
          <w:ilvl w:val="1"/>
          <w:numId w:val="4"/>
        </w:num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>C</w:t>
      </w:r>
    </w:p>
    <w:p w:rsid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Each assignment will be given a certain point value.  Scores and the possible number of points for each assignment will be added before each report</w:t>
      </w:r>
      <w:r w:rsidR="000202A5">
        <w:rPr>
          <w:rFonts w:eastAsia="Times New Roman" w:cs="Times New Roman"/>
          <w:szCs w:val="24"/>
        </w:rPr>
        <w:t xml:space="preserve"> card and at the end of the semester</w:t>
      </w:r>
      <w:bookmarkStart w:id="0" w:name="_GoBack"/>
      <w:bookmarkEnd w:id="0"/>
      <w:r w:rsidRPr="00F0377D">
        <w:rPr>
          <w:rFonts w:eastAsia="Times New Roman" w:cs="Times New Roman"/>
          <w:szCs w:val="24"/>
        </w:rPr>
        <w:t>.  Your total score will then be divided by the total possible points.  There will not be a final exam.</w:t>
      </w:r>
      <w:r w:rsidR="00224653">
        <w:rPr>
          <w:rFonts w:eastAsia="Times New Roman" w:cs="Times New Roman"/>
          <w:szCs w:val="24"/>
        </w:rPr>
        <w:t xml:space="preserve">  </w:t>
      </w:r>
    </w:p>
    <w:p w:rsidR="00224653" w:rsidRDefault="00224653" w:rsidP="00F037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Grades will be categorized as follows:</w:t>
      </w:r>
    </w:p>
    <w:p w:rsidR="00224653" w:rsidRDefault="00224653" w:rsidP="00F037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Participation</w:t>
      </w:r>
      <w:r>
        <w:rPr>
          <w:rFonts w:eastAsia="Times New Roman" w:cs="Times New Roman"/>
          <w:szCs w:val="24"/>
        </w:rPr>
        <w:tab/>
        <w:t>50%</w:t>
      </w:r>
    </w:p>
    <w:p w:rsidR="00224653" w:rsidRDefault="00224653" w:rsidP="00F037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Assignments</w:t>
      </w:r>
      <w:r>
        <w:rPr>
          <w:rFonts w:eastAsia="Times New Roman" w:cs="Times New Roman"/>
          <w:szCs w:val="24"/>
        </w:rPr>
        <w:tab/>
        <w:t>25%</w:t>
      </w:r>
    </w:p>
    <w:p w:rsidR="00224653" w:rsidRPr="00F0377D" w:rsidRDefault="00224653" w:rsidP="00F037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Post Test</w:t>
      </w:r>
      <w:r>
        <w:rPr>
          <w:rFonts w:eastAsia="Times New Roman" w:cs="Times New Roman"/>
          <w:szCs w:val="24"/>
        </w:rPr>
        <w:tab/>
        <w:t>25</w:t>
      </w:r>
      <w:proofErr w:type="gramStart"/>
      <w:r>
        <w:rPr>
          <w:rFonts w:eastAsia="Times New Roman" w:cs="Times New Roman"/>
          <w:szCs w:val="24"/>
        </w:rPr>
        <w:t>%  (</w:t>
      </w:r>
      <w:proofErr w:type="gramEnd"/>
      <w:r>
        <w:rPr>
          <w:rFonts w:eastAsia="Times New Roman" w:cs="Times New Roman"/>
          <w:szCs w:val="24"/>
        </w:rPr>
        <w:t>will be graded based on improvement from Pre Test)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t>Make-up Work / Late Work Policy</w:t>
      </w:r>
      <w:r w:rsidRPr="00F0377D">
        <w:rPr>
          <w:rFonts w:eastAsia="Times New Roman" w:cs="Times New Roman"/>
          <w:b/>
          <w:szCs w:val="24"/>
        </w:rPr>
        <w:t>: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ab/>
      </w:r>
      <w:r w:rsidR="00B277FD">
        <w:rPr>
          <w:rFonts w:eastAsia="Times New Roman" w:cs="Times New Roman"/>
          <w:szCs w:val="24"/>
        </w:rPr>
        <w:t>Work can</w:t>
      </w:r>
      <w:r w:rsidR="00B277FD" w:rsidRPr="00B277FD">
        <w:rPr>
          <w:rFonts w:eastAsia="Times New Roman" w:cs="Times New Roman"/>
          <w:szCs w:val="24"/>
        </w:rPr>
        <w:t xml:space="preserve"> be made up before or</w:t>
      </w:r>
      <w:r w:rsidR="00B277FD">
        <w:rPr>
          <w:rFonts w:eastAsia="Times New Roman" w:cs="Times New Roman"/>
          <w:szCs w:val="24"/>
        </w:rPr>
        <w:t xml:space="preserve"> after school. </w:t>
      </w:r>
      <w:r w:rsidRPr="00F0377D">
        <w:rPr>
          <w:rFonts w:eastAsia="Times New Roman" w:cs="Times New Roman"/>
          <w:szCs w:val="24"/>
        </w:rPr>
        <w:t xml:space="preserve">We are in our rooms by 8:00 </w:t>
      </w:r>
      <w:r w:rsidR="00B277FD">
        <w:rPr>
          <w:rFonts w:eastAsia="Times New Roman" w:cs="Times New Roman"/>
          <w:szCs w:val="24"/>
        </w:rPr>
        <w:t>A.M. and stay to at least 3:45 P</w:t>
      </w:r>
      <w:r w:rsidRPr="00F0377D">
        <w:rPr>
          <w:rFonts w:eastAsia="Times New Roman" w:cs="Times New Roman"/>
          <w:szCs w:val="24"/>
        </w:rPr>
        <w:t xml:space="preserve">.M.  </w:t>
      </w:r>
      <w:r w:rsidR="00B277FD">
        <w:rPr>
          <w:rFonts w:eastAsia="Times New Roman" w:cs="Times New Roman"/>
          <w:szCs w:val="24"/>
        </w:rPr>
        <w:t xml:space="preserve">If you need to make up work at another time, you will need to make arrangements with the teacher. </w:t>
      </w:r>
      <w:r w:rsidRPr="00F0377D">
        <w:rPr>
          <w:rFonts w:eastAsia="Times New Roman" w:cs="Times New Roman"/>
          <w:szCs w:val="24"/>
        </w:rPr>
        <w:t>It is the student’s responsibility to ask for make-up work, and</w:t>
      </w:r>
      <w:r w:rsidR="00B277FD">
        <w:rPr>
          <w:rFonts w:eastAsia="Times New Roman" w:cs="Times New Roman"/>
          <w:szCs w:val="24"/>
        </w:rPr>
        <w:t xml:space="preserve"> it should be requested at most</w:t>
      </w:r>
      <w:r w:rsidRPr="00F0377D">
        <w:rPr>
          <w:rFonts w:eastAsia="Times New Roman" w:cs="Times New Roman"/>
          <w:szCs w:val="24"/>
        </w:rPr>
        <w:t xml:space="preserve"> 3 days after an absence.     </w:t>
      </w:r>
    </w:p>
    <w:p w:rsidR="00F0377D" w:rsidRDefault="00F0377D" w:rsidP="00F0377D">
      <w:pPr>
        <w:rPr>
          <w:rFonts w:eastAsia="Times New Roman" w:cs="Times New Roman"/>
          <w:szCs w:val="24"/>
        </w:rPr>
      </w:pPr>
    </w:p>
    <w:p w:rsidR="00AB228C" w:rsidRDefault="00AB228C" w:rsidP="00F0377D">
      <w:pPr>
        <w:rPr>
          <w:rFonts w:eastAsia="Times New Roman" w:cs="Times New Roman"/>
          <w:szCs w:val="24"/>
        </w:rPr>
      </w:pPr>
    </w:p>
    <w:p w:rsidR="00AB228C" w:rsidRPr="00F0377D" w:rsidRDefault="00AB228C" w:rsidP="00F0377D">
      <w:pPr>
        <w:rPr>
          <w:rFonts w:eastAsia="Times New Roman" w:cs="Times New Roman"/>
          <w:szCs w:val="24"/>
        </w:rPr>
      </w:pP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b/>
          <w:szCs w:val="24"/>
          <w:u w:val="single"/>
        </w:rPr>
        <w:lastRenderedPageBreak/>
        <w:t>Online Posting of Grades</w:t>
      </w:r>
      <w:r w:rsidRPr="00F0377D">
        <w:rPr>
          <w:rFonts w:eastAsia="Times New Roman" w:cs="Times New Roman"/>
          <w:b/>
          <w:szCs w:val="24"/>
        </w:rPr>
        <w:t>:</w:t>
      </w:r>
    </w:p>
    <w:p w:rsidR="00F0377D" w:rsidRPr="00F0377D" w:rsidRDefault="00F0377D" w:rsidP="00F0377D">
      <w:pPr>
        <w:rPr>
          <w:rFonts w:eastAsia="Times New Roman" w:cs="Times New Roman"/>
          <w:szCs w:val="24"/>
        </w:rPr>
      </w:pPr>
      <w:r w:rsidRPr="00F0377D">
        <w:rPr>
          <w:rFonts w:eastAsia="Times New Roman" w:cs="Times New Roman"/>
          <w:szCs w:val="24"/>
        </w:rPr>
        <w:t xml:space="preserve">      Grades will be posted at least once a week and will be immediately available for parents and students on </w:t>
      </w:r>
      <w:r w:rsidR="00AB228C">
        <w:rPr>
          <w:rFonts w:eastAsia="Times New Roman" w:cs="Times New Roman"/>
          <w:szCs w:val="24"/>
        </w:rPr>
        <w:t>Parent</w:t>
      </w:r>
      <w:r w:rsidR="006A714C">
        <w:rPr>
          <w:rFonts w:eastAsia="Times New Roman" w:cs="Times New Roman"/>
          <w:szCs w:val="24"/>
        </w:rPr>
        <w:t xml:space="preserve"> Portal.</w:t>
      </w:r>
    </w:p>
    <w:sectPr w:rsidR="00F0377D" w:rsidRPr="00F0377D" w:rsidSect="00D54EC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4024"/>
    <w:multiLevelType w:val="multilevel"/>
    <w:tmpl w:val="B47C8FD4"/>
    <w:lvl w:ilvl="0">
      <w:start w:val="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82F6F"/>
    <w:multiLevelType w:val="multilevel"/>
    <w:tmpl w:val="FCA2645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804E7F"/>
    <w:multiLevelType w:val="multilevel"/>
    <w:tmpl w:val="4D1A3CC2"/>
    <w:lvl w:ilvl="0">
      <w:start w:val="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55555A"/>
    <w:multiLevelType w:val="hybridMultilevel"/>
    <w:tmpl w:val="3F62FCCA"/>
    <w:lvl w:ilvl="0" w:tplc="2DB2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7D"/>
    <w:rsid w:val="000202A5"/>
    <w:rsid w:val="000F6C2F"/>
    <w:rsid w:val="0010363E"/>
    <w:rsid w:val="002048D6"/>
    <w:rsid w:val="00224653"/>
    <w:rsid w:val="00465AD6"/>
    <w:rsid w:val="005C5EC5"/>
    <w:rsid w:val="006A714C"/>
    <w:rsid w:val="00795C82"/>
    <w:rsid w:val="007F3B1F"/>
    <w:rsid w:val="009E664B"/>
    <w:rsid w:val="00AB228C"/>
    <w:rsid w:val="00B16133"/>
    <w:rsid w:val="00B275EB"/>
    <w:rsid w:val="00B277FD"/>
    <w:rsid w:val="00EF5A26"/>
    <w:rsid w:val="00F0377D"/>
    <w:rsid w:val="00F32206"/>
    <w:rsid w:val="00F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6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6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t.org/content/act/en/education-and-career-planning/college-and-career-readiness-stand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.england@knox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POMEROY</dc:creator>
  <cp:lastModifiedBy>BRADY POMEROY</cp:lastModifiedBy>
  <cp:revision>3</cp:revision>
  <dcterms:created xsi:type="dcterms:W3CDTF">2018-08-06T12:23:00Z</dcterms:created>
  <dcterms:modified xsi:type="dcterms:W3CDTF">2018-08-06T14:28:00Z</dcterms:modified>
</cp:coreProperties>
</file>